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41" w:rsidRDefault="00EF1442">
      <w:pPr>
        <w:pStyle w:val="Corpodetexto"/>
        <w:rPr>
          <w:sz w:val="32"/>
        </w:rPr>
      </w:pPr>
      <w:r>
        <w:rPr>
          <w:noProof/>
          <w:sz w:val="32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42947</wp:posOffset>
            </wp:positionH>
            <wp:positionV relativeFrom="page">
              <wp:posOffset>2539</wp:posOffset>
            </wp:positionV>
            <wp:extent cx="7517616" cy="147713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616" cy="147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741" w:rsidRDefault="00854741">
      <w:pPr>
        <w:pStyle w:val="Corpodetexto"/>
        <w:rPr>
          <w:sz w:val="32"/>
        </w:rPr>
      </w:pPr>
    </w:p>
    <w:p w:rsidR="00854741" w:rsidRDefault="00854741">
      <w:pPr>
        <w:pStyle w:val="Corpodetexto"/>
        <w:rPr>
          <w:sz w:val="32"/>
        </w:rPr>
      </w:pPr>
    </w:p>
    <w:p w:rsidR="00854741" w:rsidRDefault="00854741">
      <w:pPr>
        <w:pStyle w:val="Corpodetexto"/>
        <w:rPr>
          <w:sz w:val="32"/>
        </w:rPr>
      </w:pPr>
    </w:p>
    <w:p w:rsidR="00854741" w:rsidRDefault="00854741">
      <w:pPr>
        <w:pStyle w:val="Corpodetexto"/>
        <w:rPr>
          <w:sz w:val="32"/>
        </w:rPr>
      </w:pPr>
    </w:p>
    <w:p w:rsidR="00854741" w:rsidRDefault="00854741">
      <w:pPr>
        <w:pStyle w:val="Corpodetexto"/>
        <w:spacing w:before="165"/>
        <w:rPr>
          <w:sz w:val="32"/>
        </w:rPr>
      </w:pPr>
    </w:p>
    <w:p w:rsidR="00854741" w:rsidRDefault="00EF1442">
      <w:pPr>
        <w:pStyle w:val="Ttulo"/>
        <w:spacing w:before="1"/>
        <w:ind w:left="103" w:right="106"/>
      </w:pPr>
      <w:r>
        <w:t>AVALIAÇÃO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PARÂMETROS</w:t>
      </w:r>
      <w:r>
        <w:rPr>
          <w:spacing w:val="-10"/>
        </w:rPr>
        <w:t xml:space="preserve"> </w:t>
      </w:r>
      <w:r>
        <w:t>AGRONÔMICOS</w:t>
      </w:r>
      <w:r>
        <w:rPr>
          <w:spacing w:val="-9"/>
        </w:rPr>
        <w:t xml:space="preserve"> </w:t>
      </w:r>
      <w:r>
        <w:t>DA CULTURA DO MILHO SUBMETIDAS A DIFERENTES</w:t>
      </w:r>
    </w:p>
    <w:p w:rsidR="0019633E" w:rsidRDefault="00EF1442" w:rsidP="0019633E">
      <w:pPr>
        <w:pStyle w:val="Ttulo"/>
        <w:rPr>
          <w:spacing w:val="-4"/>
          <w:vertAlign w:val="superscript"/>
        </w:rPr>
      </w:pPr>
      <w:r w:rsidRPr="00DA4282">
        <w:t>DOSAGENS</w:t>
      </w:r>
      <w:r w:rsidRPr="00DA4282">
        <w:rPr>
          <w:spacing w:val="-9"/>
        </w:rPr>
        <w:t xml:space="preserve"> </w:t>
      </w:r>
      <w:r w:rsidRPr="00DA4282">
        <w:t>DE</w:t>
      </w:r>
      <w:r w:rsidRPr="00DA4282">
        <w:rPr>
          <w:spacing w:val="-6"/>
        </w:rPr>
        <w:t xml:space="preserve"> </w:t>
      </w:r>
      <w:r w:rsidRPr="00DA4282">
        <w:t>Cobre</w:t>
      </w:r>
      <w:r w:rsidRPr="00DA4282">
        <w:rPr>
          <w:spacing w:val="-9"/>
        </w:rPr>
        <w:t xml:space="preserve"> </w:t>
      </w:r>
      <w:r w:rsidRPr="00DA4282">
        <w:t>Red</w:t>
      </w:r>
      <w:r w:rsidRPr="00DA4282">
        <w:rPr>
          <w:vertAlign w:val="superscript"/>
        </w:rPr>
        <w:t>®</w:t>
      </w:r>
      <w:r w:rsidRPr="00DA4282">
        <w:rPr>
          <w:spacing w:val="-8"/>
        </w:rPr>
        <w:t xml:space="preserve"> </w:t>
      </w:r>
      <w:r w:rsidRPr="00DA4282">
        <w:t>e</w:t>
      </w:r>
      <w:r w:rsidRPr="00DA4282">
        <w:rPr>
          <w:spacing w:val="-6"/>
        </w:rPr>
        <w:t xml:space="preserve"> </w:t>
      </w:r>
      <w:r w:rsidRPr="00DA4282">
        <w:t>Priori</w:t>
      </w:r>
      <w:r w:rsidRPr="00DA4282">
        <w:rPr>
          <w:spacing w:val="-9"/>
        </w:rPr>
        <w:t xml:space="preserve"> </w:t>
      </w:r>
      <w:r w:rsidRPr="00DA4282">
        <w:rPr>
          <w:spacing w:val="-4"/>
        </w:rPr>
        <w:t>Top</w:t>
      </w:r>
      <w:r w:rsidRPr="00DA4282">
        <w:rPr>
          <w:spacing w:val="-4"/>
          <w:vertAlign w:val="superscript"/>
        </w:rPr>
        <w:t>®</w:t>
      </w:r>
    </w:p>
    <w:p w:rsidR="0019633E" w:rsidRDefault="0019633E" w:rsidP="0019633E">
      <w:pPr>
        <w:pStyle w:val="Ttulo"/>
        <w:rPr>
          <w:spacing w:val="-4"/>
          <w:vertAlign w:val="superscript"/>
        </w:rPr>
      </w:pPr>
    </w:p>
    <w:p w:rsidR="00854741" w:rsidRPr="0019633E" w:rsidRDefault="00DA4282" w:rsidP="0019633E">
      <w:pPr>
        <w:pStyle w:val="Ttulo"/>
        <w:spacing w:line="360" w:lineRule="auto"/>
        <w:rPr>
          <w:sz w:val="22"/>
          <w:szCs w:val="22"/>
        </w:rPr>
      </w:pPr>
      <w:r w:rsidRPr="0019633E">
        <w:rPr>
          <w:sz w:val="22"/>
          <w:szCs w:val="22"/>
        </w:rPr>
        <w:t>Marcelo C.F Zancheta</w:t>
      </w:r>
      <w:r w:rsidR="0019633E">
        <w:rPr>
          <w:sz w:val="22"/>
          <w:szCs w:val="22"/>
        </w:rPr>
        <w:t>;</w:t>
      </w:r>
      <w:r w:rsidRPr="0019633E">
        <w:rPr>
          <w:sz w:val="22"/>
          <w:szCs w:val="22"/>
        </w:rPr>
        <w:t xml:space="preserve"> Pedro Henrrique D. Caixeta</w:t>
      </w:r>
      <w:r w:rsidR="0019633E">
        <w:rPr>
          <w:sz w:val="22"/>
          <w:szCs w:val="22"/>
        </w:rPr>
        <w:t>;</w:t>
      </w:r>
      <w:r w:rsidRPr="0019633E">
        <w:rPr>
          <w:sz w:val="22"/>
          <w:szCs w:val="22"/>
        </w:rPr>
        <w:t xml:space="preserve"> José Sergio De Araujo</w:t>
      </w:r>
    </w:p>
    <w:p w:rsidR="00854741" w:rsidRPr="0019633E" w:rsidRDefault="00854741" w:rsidP="0019633E">
      <w:pPr>
        <w:pStyle w:val="Corpodetexto"/>
        <w:spacing w:before="20" w:line="360" w:lineRule="auto"/>
        <w:jc w:val="both"/>
        <w:rPr>
          <w:b/>
          <w:sz w:val="22"/>
          <w:szCs w:val="22"/>
        </w:rPr>
      </w:pPr>
    </w:p>
    <w:p w:rsidR="00854741" w:rsidRPr="00DA4282" w:rsidRDefault="00EF1442">
      <w:pPr>
        <w:pStyle w:val="Ttulo1"/>
        <w:spacing w:line="274" w:lineRule="exact"/>
        <w:ind w:firstLine="0"/>
      </w:pPr>
      <w:r w:rsidRPr="00DA4282">
        <w:rPr>
          <w:spacing w:val="-2"/>
        </w:rPr>
        <w:t>RESUMO</w:t>
      </w:r>
    </w:p>
    <w:p w:rsidR="00854741" w:rsidRDefault="00EF1442">
      <w:pPr>
        <w:ind w:left="140" w:right="139"/>
        <w:jc w:val="both"/>
        <w:rPr>
          <w:sz w:val="20"/>
        </w:rPr>
      </w:pPr>
      <w:r w:rsidRPr="00DA4282">
        <w:rPr>
          <w:sz w:val="20"/>
        </w:rPr>
        <w:t>Objetivou avaliar os efeitos do fertilizante foliar Cobre Red</w:t>
      </w:r>
      <w:r w:rsidRPr="00DA4282">
        <w:rPr>
          <w:sz w:val="20"/>
          <w:vertAlign w:val="superscript"/>
        </w:rPr>
        <w:t>®</w:t>
      </w:r>
      <w:r w:rsidRPr="00DA4282">
        <w:rPr>
          <w:sz w:val="20"/>
        </w:rPr>
        <w:t xml:space="preserve"> e do fungicida Priori Top</w:t>
      </w:r>
      <w:r w:rsidRPr="00DA4282">
        <w:rPr>
          <w:sz w:val="20"/>
          <w:vertAlign w:val="superscript"/>
        </w:rPr>
        <w:t>®</w:t>
      </w:r>
      <w:r w:rsidRPr="00DA4282">
        <w:rPr>
          <w:sz w:val="20"/>
        </w:rPr>
        <w:t xml:space="preserve"> na severidade</w:t>
      </w:r>
      <w:r w:rsidRPr="00EF1442">
        <w:rPr>
          <w:sz w:val="20"/>
        </w:rPr>
        <w:t xml:space="preserve"> </w:t>
      </w:r>
      <w:r>
        <w:rPr>
          <w:sz w:val="20"/>
        </w:rPr>
        <w:t>de doenças foliares, ferrugem e cercosporiose e a produtividade da cultura do milho. O experimento foi conduzido no Instituto Federal do Sul de Minas Gerais – Campus Muzambinho, com aplicação dos tratamentos no estádio fenológico V6. Os tratamentos consistiram em diferentes combinações e dosagens dos produtos aplicados via foliar. O delineamento experimental foi em blocos atualizados, com cinco tratamentos e quatro repetições. As variáveis avaliadas foram a severidade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doenças,</w:t>
      </w:r>
      <w:r>
        <w:rPr>
          <w:spacing w:val="-1"/>
          <w:sz w:val="20"/>
        </w:rPr>
        <w:t xml:space="preserve"> </w:t>
      </w:r>
      <w:r>
        <w:rPr>
          <w:sz w:val="20"/>
        </w:rPr>
        <w:t>o peso dos</w:t>
      </w:r>
      <w:r>
        <w:rPr>
          <w:spacing w:val="-2"/>
          <w:sz w:val="20"/>
        </w:rPr>
        <w:t xml:space="preserve"> </w:t>
      </w:r>
      <w:r>
        <w:rPr>
          <w:sz w:val="20"/>
        </w:rPr>
        <w:t>grãos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 produtividade. Os</w:t>
      </w:r>
      <w:r>
        <w:rPr>
          <w:spacing w:val="-2"/>
          <w:sz w:val="20"/>
        </w:rPr>
        <w:t xml:space="preserve"> </w:t>
      </w:r>
      <w:r>
        <w:rPr>
          <w:sz w:val="20"/>
        </w:rPr>
        <w:t>dados foram</w:t>
      </w:r>
      <w:r>
        <w:rPr>
          <w:spacing w:val="-3"/>
          <w:sz w:val="20"/>
        </w:rPr>
        <w:t xml:space="preserve"> </w:t>
      </w:r>
      <w:r>
        <w:rPr>
          <w:sz w:val="20"/>
        </w:rPr>
        <w:t>submetidos à análise</w:t>
      </w:r>
      <w:r>
        <w:rPr>
          <w:spacing w:val="-1"/>
          <w:sz w:val="20"/>
        </w:rPr>
        <w:t xml:space="preserve"> </w:t>
      </w:r>
      <w:r>
        <w:rPr>
          <w:sz w:val="20"/>
        </w:rPr>
        <w:t>estatística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 médias comparadas pelo teste de Tukey a 5% de probabilidade. Os resultados demonstraram que as aplicações dos produtos proporcionaram redução significativa na severidade das doenças e incremento na produtividade. O uso do Cobre Red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associado ao Priori Top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mostrou-se eficiente no manejo fitossanitário e produtivo da cultura do milho.</w:t>
      </w:r>
    </w:p>
    <w:p w:rsidR="00854741" w:rsidRDefault="00854741">
      <w:pPr>
        <w:pStyle w:val="Corpodetexto"/>
        <w:spacing w:before="51"/>
        <w:rPr>
          <w:sz w:val="20"/>
        </w:rPr>
      </w:pPr>
    </w:p>
    <w:p w:rsidR="00854741" w:rsidRDefault="00EF1442">
      <w:pPr>
        <w:spacing w:line="226" w:lineRule="exact"/>
        <w:ind w:left="140"/>
        <w:rPr>
          <w:b/>
          <w:sz w:val="20"/>
        </w:rPr>
      </w:pPr>
      <w:r>
        <w:rPr>
          <w:b/>
          <w:spacing w:val="-2"/>
          <w:sz w:val="20"/>
        </w:rPr>
        <w:t>Palavras-chave:</w:t>
      </w:r>
    </w:p>
    <w:p w:rsidR="00854741" w:rsidRDefault="00EF1442">
      <w:pPr>
        <w:pStyle w:val="Corpodetexto"/>
        <w:spacing w:line="272" w:lineRule="exact"/>
        <w:ind w:left="140"/>
        <w:jc w:val="both"/>
      </w:pPr>
      <w:r>
        <w:t>Zea</w:t>
      </w:r>
      <w:r>
        <w:rPr>
          <w:spacing w:val="-3"/>
        </w:rPr>
        <w:t xml:space="preserve"> </w:t>
      </w:r>
      <w:r>
        <w:t>mays</w:t>
      </w:r>
      <w:r>
        <w:rPr>
          <w:spacing w:val="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doença,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rPr>
          <w:spacing w:val="-2"/>
        </w:rPr>
        <w:t>foliar.</w:t>
      </w:r>
    </w:p>
    <w:p w:rsidR="00854741" w:rsidRDefault="00854741">
      <w:pPr>
        <w:pStyle w:val="Corpodetexto"/>
        <w:spacing w:before="7"/>
      </w:pPr>
    </w:p>
    <w:p w:rsidR="00854741" w:rsidRDefault="00EF1442">
      <w:pPr>
        <w:pStyle w:val="Ttulo1"/>
        <w:ind w:firstLine="0"/>
      </w:pPr>
      <w:r>
        <w:t xml:space="preserve">1. </w:t>
      </w:r>
      <w:r>
        <w:rPr>
          <w:spacing w:val="-2"/>
        </w:rPr>
        <w:t>INTRODUÇÃO</w:t>
      </w:r>
    </w:p>
    <w:p w:rsidR="00854741" w:rsidRPr="0019633E" w:rsidRDefault="00EF1442" w:rsidP="0019633E">
      <w:pPr>
        <w:pStyle w:val="Corpodetexto"/>
        <w:spacing w:before="135" w:line="360" w:lineRule="auto"/>
        <w:ind w:left="140" w:right="138" w:firstLine="720"/>
        <w:jc w:val="both"/>
      </w:pPr>
      <w:r>
        <w:t>O plantio do milho (</w:t>
      </w:r>
      <w:r>
        <w:rPr>
          <w:i/>
        </w:rPr>
        <w:t xml:space="preserve">Zea mays </w:t>
      </w:r>
      <w:r>
        <w:t>L.), em segunda safra, geralmente cultivada após a soja precoce, é rentável, mas vulnerável a doenças foliares que podem reduzir a produtividade em até 40% (CASA; REIS, 2003). A nutrição mineral afeta a resistência das plantas: o excesso de nitrogênio pode aumentar a suscetibilidade, enquanto elementos como cobre</w:t>
      </w:r>
      <w:r>
        <w:rPr>
          <w:spacing w:val="-1"/>
        </w:rPr>
        <w:t xml:space="preserve"> </w:t>
      </w:r>
      <w:r>
        <w:t>e manganês ajudam no controle de doenças (HUBER; WILHELM, 1988; ZAMBOLIM; VENTURA, 1996). O cobre, além de micronutriente essencial, possui efeito fungicida em altas concentrações, atuando por meio de mecanismos como lignificação e atividade enzimática, mas pode causar danos oxidativos se mal dosado (SCHUTZENDUBEL, 2002). O fertilizante Cobre Red</w:t>
      </w:r>
      <w:r>
        <w:rPr>
          <w:vertAlign w:val="superscript"/>
        </w:rPr>
        <w:t>®</w:t>
      </w:r>
      <w:r>
        <w:t>, à base de óxido cuproso micronizado (34%), visa potencializar a defesa da planta. Já o fungicida Priori Top</w:t>
      </w:r>
      <w:r>
        <w:rPr>
          <w:vertAlign w:val="superscript"/>
        </w:rPr>
        <w:t>®</w:t>
      </w:r>
      <w:r>
        <w:t>, composto por azoxistrobina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difenoconazol,</w:t>
      </w:r>
      <w:r>
        <w:rPr>
          <w:spacing w:val="-2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sistêmica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amplo</w:t>
      </w:r>
      <w:r>
        <w:rPr>
          <w:spacing w:val="-2"/>
        </w:rPr>
        <w:t xml:space="preserve"> </w:t>
      </w:r>
      <w:r>
        <w:t>espectro</w:t>
      </w:r>
      <w:r>
        <w:rPr>
          <w:spacing w:val="-1"/>
        </w:rPr>
        <w:t xml:space="preserve"> </w:t>
      </w:r>
      <w:r>
        <w:t>(PINTO,</w:t>
      </w:r>
      <w:r>
        <w:rPr>
          <w:spacing w:val="-2"/>
        </w:rPr>
        <w:t xml:space="preserve"> </w:t>
      </w:r>
      <w:r>
        <w:t>2004;</w:t>
      </w:r>
      <w:r>
        <w:rPr>
          <w:spacing w:val="-2"/>
        </w:rPr>
        <w:t xml:space="preserve"> </w:t>
      </w:r>
      <w:r>
        <w:t>DUARTE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 2009; DONATO; BONALDO, 2013). Aplicações sequenciais, especialmente antes do pré- pendoamento, têm se mostrado mais eficazes (JULIATTI et al., 2004; BONALDO et al., 2010). Com base nisso, o presente objetivou avaliar o impacto de diferentes dosagens de Cobre Red</w:t>
      </w:r>
      <w:r>
        <w:rPr>
          <w:vertAlign w:val="superscript"/>
        </w:rPr>
        <w:t>®</w:t>
      </w:r>
      <w:r>
        <w:t xml:space="preserve"> e Priori Top</w:t>
      </w:r>
      <w:r>
        <w:rPr>
          <w:vertAlign w:val="superscript"/>
        </w:rPr>
        <w:t>®</w:t>
      </w:r>
      <w:r>
        <w:t xml:space="preserve"> no controle da ferrugem, cercosporiose e na produtividade do milho.</w:t>
      </w:r>
    </w:p>
    <w:p w:rsidR="00854741" w:rsidRDefault="00EF1442">
      <w:pPr>
        <w:spacing w:before="62" w:line="230" w:lineRule="auto"/>
        <w:ind w:left="140" w:right="268"/>
        <w:rPr>
          <w:sz w:val="20"/>
        </w:rPr>
      </w:pPr>
      <w:r>
        <w:rPr>
          <w:position w:val="11"/>
          <w:sz w:val="16"/>
        </w:rPr>
        <w:t>1</w:t>
      </w:r>
      <w:r>
        <w:rPr>
          <w:sz w:val="20"/>
        </w:rPr>
        <w:t>Bolsista</w:t>
      </w:r>
      <w:r>
        <w:rPr>
          <w:spacing w:val="-6"/>
          <w:sz w:val="20"/>
        </w:rPr>
        <w:t xml:space="preserve"> </w:t>
      </w:r>
      <w:r>
        <w:rPr>
          <w:sz w:val="20"/>
        </w:rPr>
        <w:t>PIBIC/CNPq,</w:t>
      </w:r>
      <w:r>
        <w:rPr>
          <w:spacing w:val="-6"/>
          <w:sz w:val="20"/>
        </w:rPr>
        <w:t xml:space="preserve"> </w:t>
      </w:r>
      <w:r>
        <w:rPr>
          <w:sz w:val="20"/>
        </w:rPr>
        <w:t>IFSULDEMINAS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Inconfidentes.</w:t>
      </w:r>
      <w:r>
        <w:rPr>
          <w:spacing w:val="-5"/>
          <w:sz w:val="20"/>
        </w:rPr>
        <w:t xml:space="preserve"> </w:t>
      </w: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6">
        <w:r>
          <w:rPr>
            <w:sz w:val="20"/>
          </w:rPr>
          <w:t>endereco.eletronico@gmail.com.</w:t>
        </w:r>
      </w:hyperlink>
      <w:r>
        <w:rPr>
          <w:sz w:val="20"/>
        </w:rPr>
        <w:t xml:space="preserve"> </w:t>
      </w:r>
      <w:r>
        <w:rPr>
          <w:position w:val="11"/>
          <w:sz w:val="16"/>
        </w:rPr>
        <w:t>2</w:t>
      </w:r>
      <w:r>
        <w:rPr>
          <w:sz w:val="20"/>
        </w:rPr>
        <w:t xml:space="preserve">Discente do Técnico em Agropecuária Integrado, IFSULDEMINAS – </w:t>
      </w:r>
      <w:r>
        <w:rPr>
          <w:i/>
          <w:sz w:val="20"/>
        </w:rPr>
        <w:t xml:space="preserve">Campus </w:t>
      </w:r>
      <w:r>
        <w:rPr>
          <w:sz w:val="20"/>
        </w:rPr>
        <w:t xml:space="preserve">Inconfidentes. E-mail: </w:t>
      </w:r>
      <w:r>
        <w:rPr>
          <w:spacing w:val="-2"/>
          <w:sz w:val="20"/>
        </w:rPr>
        <w:fldChar w:fldCharType="begin"/>
      </w:r>
      <w:r>
        <w:rPr>
          <w:spacing w:val="-2"/>
          <w:sz w:val="20"/>
        </w:rPr>
        <w:instrText xml:space="preserve"> HYPERLINK "mailto:endereco.eletronico2@ifsuldeminas.edu.br" \h </w:instrText>
      </w:r>
      <w:r>
        <w:rPr>
          <w:spacing w:val="-2"/>
          <w:sz w:val="20"/>
        </w:rPr>
        <w:fldChar w:fldCharType="separate"/>
      </w:r>
      <w:r>
        <w:rPr>
          <w:spacing w:val="-2"/>
          <w:sz w:val="20"/>
        </w:rPr>
        <w:t>endereco.eletronico2@ifsuldeminas.edu.br.</w:t>
      </w:r>
      <w:r>
        <w:rPr>
          <w:spacing w:val="-2"/>
          <w:sz w:val="20"/>
        </w:rPr>
        <w:fldChar w:fldCharType="end"/>
      </w:r>
    </w:p>
    <w:p w:rsidR="00854741" w:rsidRDefault="00EF1442">
      <w:pPr>
        <w:spacing w:line="268" w:lineRule="exact"/>
        <w:ind w:left="140"/>
        <w:rPr>
          <w:sz w:val="20"/>
        </w:rPr>
      </w:pPr>
      <w:r>
        <w:rPr>
          <w:position w:val="11"/>
          <w:sz w:val="16"/>
        </w:rPr>
        <w:t>3</w:t>
      </w:r>
      <w:r>
        <w:rPr>
          <w:sz w:val="20"/>
        </w:rPr>
        <w:t>Orientador,</w:t>
      </w:r>
      <w:r>
        <w:rPr>
          <w:spacing w:val="-8"/>
          <w:sz w:val="20"/>
        </w:rPr>
        <w:t xml:space="preserve"> </w:t>
      </w:r>
      <w:r>
        <w:rPr>
          <w:sz w:val="20"/>
        </w:rPr>
        <w:t>IFSULDEMINAS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Inconfidentes.</w:t>
      </w:r>
      <w:r>
        <w:rPr>
          <w:spacing w:val="-8"/>
          <w:sz w:val="20"/>
        </w:rPr>
        <w:t xml:space="preserve"> </w:t>
      </w:r>
      <w:r>
        <w:rPr>
          <w:sz w:val="20"/>
        </w:rPr>
        <w:t>E-mail:</w:t>
      </w:r>
      <w:r>
        <w:rPr>
          <w:spacing w:val="-8"/>
          <w:sz w:val="20"/>
        </w:rPr>
        <w:t xml:space="preserve"> </w:t>
      </w:r>
      <w:hyperlink r:id="rId7">
        <w:r>
          <w:rPr>
            <w:spacing w:val="-2"/>
            <w:sz w:val="20"/>
          </w:rPr>
          <w:t>endereco.eletronico@ifsuldeminas.edu.br.</w:t>
        </w:r>
      </w:hyperlink>
    </w:p>
    <w:p w:rsidR="00854741" w:rsidRDefault="00854741">
      <w:pPr>
        <w:spacing w:line="268" w:lineRule="exact"/>
        <w:rPr>
          <w:sz w:val="20"/>
        </w:rPr>
        <w:sectPr w:rsidR="00854741">
          <w:type w:val="continuous"/>
          <w:pgSz w:w="11910" w:h="16840"/>
          <w:pgMar w:top="0" w:right="992" w:bottom="280" w:left="992" w:header="720" w:footer="720" w:gutter="0"/>
          <w:cols w:space="720"/>
        </w:sectPr>
      </w:pPr>
      <w:bookmarkStart w:id="0" w:name="_GoBack"/>
      <w:bookmarkEnd w:id="0"/>
    </w:p>
    <w:p w:rsidR="00854741" w:rsidRDefault="00EF1442">
      <w:pPr>
        <w:pStyle w:val="Ttulo1"/>
        <w:numPr>
          <w:ilvl w:val="0"/>
          <w:numId w:val="1"/>
        </w:numPr>
        <w:tabs>
          <w:tab w:val="left" w:pos="380"/>
        </w:tabs>
        <w:spacing w:before="73"/>
        <w:jc w:val="both"/>
      </w:pPr>
      <w:r>
        <w:lastRenderedPageBreak/>
        <w:t>MATERIAL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MÉTODOS</w:t>
      </w:r>
    </w:p>
    <w:p w:rsidR="00DF09B5" w:rsidRDefault="00DF09B5" w:rsidP="00DF09B5">
      <w:pPr>
        <w:pStyle w:val="NormalWeb"/>
        <w:spacing w:line="360" w:lineRule="auto"/>
        <w:jc w:val="both"/>
      </w:pPr>
      <w:r>
        <w:t xml:space="preserve">   </w:t>
      </w:r>
      <w:r w:rsidR="00EF1442">
        <w:tab/>
      </w:r>
      <w:r>
        <w:t xml:space="preserve"> O experimento foi conduzido no Instituto Federal do Sul de Minas Gerais – Campus Muzambinho, em área localizada a 1.100 metros de altitude, sob clima </w:t>
      </w:r>
      <w:proofErr w:type="spellStart"/>
      <w:r>
        <w:t>Cwb</w:t>
      </w:r>
      <w:proofErr w:type="spellEnd"/>
      <w:r>
        <w:t xml:space="preserve">, classificado como temperado úmido, com inverno seco e verão moderadamente quente (OMETO, 1981), em solo caracterizado como Latossolo Vermelho Distrófico típico. Utilizou-se o delineamento em blocos </w:t>
      </w:r>
      <w:proofErr w:type="spellStart"/>
      <w:r>
        <w:t>casualizados</w:t>
      </w:r>
      <w:proofErr w:type="spellEnd"/>
      <w:r>
        <w:t xml:space="preserve"> (DBC), com quatro repetições e cinco tratamentos, totalizando 20 parcelas de 8 m² (4 m </w:t>
      </w:r>
      <w:proofErr w:type="gramStart"/>
      <w:r>
        <w:t>x</w:t>
      </w:r>
      <w:proofErr w:type="gramEnd"/>
      <w:r>
        <w:t xml:space="preserve"> 2 m). Cada parcela foi composta por quatro linhas de semeadura, espaçadas em 0,5 m, sendo consideradas apenas as duas centrais, enquanto as laterais foram utilizadas como bordaduras. Os tratamentos corresponderam a diferentes combinações (Quadro 1) dos produtos Cobre </w:t>
      </w:r>
      <w:proofErr w:type="spellStart"/>
      <w:r>
        <w:t>Red</w:t>
      </w:r>
      <w:proofErr w:type="spellEnd"/>
      <w:r>
        <w:t xml:space="preserve">® e Priori Top®, </w:t>
      </w:r>
      <w:proofErr w:type="gramStart"/>
      <w:r>
        <w:t>aplicados via</w:t>
      </w:r>
      <w:proofErr w:type="gramEnd"/>
      <w:r>
        <w:t xml:space="preserve"> foliar, no estádio fenológico V6. Foram realizadas três avaliações da severidade de ferrugem e cercosporiose, em intervalos de 15 dias após a aplicação dos tratamentos (1ª - 05/05, 2ª - 20/05 e 3ª - 04/06), fundamentadas na escala diagramática do Guia Agroceres de Sanidade (AGROCERES, 1996).</w:t>
      </w:r>
    </w:p>
    <w:p w:rsidR="00DF09B5" w:rsidRDefault="00DF09B5" w:rsidP="00DF09B5">
      <w:r>
        <w:pict>
          <v:rect id="_x0000_i1025" style="width:0;height:1.5pt" o:hralign="center" o:hrstd="t" o:hr="t" fillcolor="#a0a0a0" stroked="f"/>
        </w:pict>
      </w:r>
    </w:p>
    <w:p w:rsidR="00854741" w:rsidRPr="00DF09B5" w:rsidRDefault="00EF1442" w:rsidP="00DF09B5">
      <w:pPr>
        <w:pStyle w:val="PargrafodaLista"/>
        <w:numPr>
          <w:ilvl w:val="0"/>
          <w:numId w:val="1"/>
        </w:numPr>
        <w:spacing w:after="8"/>
        <w:ind w:right="145"/>
        <w:rPr>
          <w:sz w:val="20"/>
        </w:rPr>
      </w:pPr>
      <w:r w:rsidRPr="00DF09B5">
        <w:rPr>
          <w:b/>
          <w:sz w:val="20"/>
        </w:rPr>
        <w:t>Quadro 1</w:t>
      </w:r>
      <w:r w:rsidRPr="00DF09B5">
        <w:rPr>
          <w:sz w:val="20"/>
        </w:rPr>
        <w:t>. Descrição das fontes e quantidades de Cobre Red</w:t>
      </w:r>
      <w:r w:rsidRPr="00DF09B5">
        <w:rPr>
          <w:sz w:val="20"/>
          <w:vertAlign w:val="superscript"/>
        </w:rPr>
        <w:t>®</w:t>
      </w:r>
      <w:r w:rsidRPr="00DF09B5">
        <w:rPr>
          <w:sz w:val="20"/>
        </w:rPr>
        <w:t xml:space="preserve"> e Priori Top</w:t>
      </w:r>
      <w:r w:rsidRPr="00DF09B5">
        <w:rPr>
          <w:sz w:val="20"/>
          <w:vertAlign w:val="superscript"/>
        </w:rPr>
        <w:t>®</w:t>
      </w:r>
      <w:r w:rsidRPr="00DF09B5">
        <w:rPr>
          <w:sz w:val="20"/>
        </w:rPr>
        <w:t xml:space="preserve"> aplicados na cultura do milho. IFSULDEMINAS – </w:t>
      </w:r>
      <w:r w:rsidRPr="00DF09B5">
        <w:rPr>
          <w:i/>
          <w:sz w:val="20"/>
        </w:rPr>
        <w:t xml:space="preserve">Campus </w:t>
      </w:r>
      <w:r w:rsidRPr="00DF09B5">
        <w:rPr>
          <w:sz w:val="20"/>
        </w:rPr>
        <w:t>Muzambinho. Muzambinho/MG, 2025.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8"/>
      </w:tblGrid>
      <w:tr w:rsidR="00854741">
        <w:trPr>
          <w:trHeight w:val="313"/>
        </w:trPr>
        <w:tc>
          <w:tcPr>
            <w:tcW w:w="1702" w:type="dxa"/>
          </w:tcPr>
          <w:p w:rsidR="00854741" w:rsidRDefault="00EF1442">
            <w:pPr>
              <w:pStyle w:val="TableParagraph"/>
              <w:spacing w:before="16" w:line="240" w:lineRule="auto"/>
              <w:ind w:right="38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TRATAMENTO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before="16" w:line="240" w:lineRule="auto"/>
              <w:ind w:left="461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</w:tr>
      <w:tr w:rsidR="00854741">
        <w:trPr>
          <w:trHeight w:val="278"/>
        </w:trPr>
        <w:tc>
          <w:tcPr>
            <w:tcW w:w="1702" w:type="dxa"/>
          </w:tcPr>
          <w:p w:rsidR="00854741" w:rsidRDefault="00EF1442">
            <w:pPr>
              <w:pStyle w:val="TableParagraph"/>
              <w:ind w:left="48" w:right="38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line="181" w:lineRule="exact"/>
              <w:ind w:left="46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Testemunha</w:t>
            </w:r>
          </w:p>
        </w:tc>
      </w:tr>
      <w:tr w:rsidR="00854741">
        <w:trPr>
          <w:trHeight w:val="275"/>
        </w:trPr>
        <w:tc>
          <w:tcPr>
            <w:tcW w:w="1702" w:type="dxa"/>
          </w:tcPr>
          <w:p w:rsidR="00854741" w:rsidRDefault="00EF1442">
            <w:pPr>
              <w:pStyle w:val="TableParagraph"/>
              <w:spacing w:line="181" w:lineRule="exact"/>
              <w:ind w:left="48" w:right="38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before="40" w:line="240" w:lineRule="auto"/>
              <w:ind w:left="461" w:right="3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-</w:t>
            </w:r>
            <w:r>
              <w:rPr>
                <w:spacing w:val="-10"/>
                <w:sz w:val="16"/>
                <w:vertAlign w:val="superscript"/>
              </w:rPr>
              <w:t>1</w:t>
            </w:r>
          </w:p>
        </w:tc>
      </w:tr>
      <w:tr w:rsidR="00854741">
        <w:trPr>
          <w:trHeight w:val="275"/>
        </w:trPr>
        <w:tc>
          <w:tcPr>
            <w:tcW w:w="1702" w:type="dxa"/>
          </w:tcPr>
          <w:p w:rsidR="00854741" w:rsidRDefault="00EF1442">
            <w:pPr>
              <w:pStyle w:val="TableParagraph"/>
              <w:spacing w:line="181" w:lineRule="exact"/>
              <w:ind w:left="48" w:right="38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before="40" w:line="240" w:lineRule="auto"/>
              <w:ind w:left="461" w:right="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-</w:t>
            </w:r>
            <w:r>
              <w:rPr>
                <w:spacing w:val="-10"/>
                <w:sz w:val="16"/>
                <w:vertAlign w:val="superscript"/>
              </w:rPr>
              <w:t>1</w:t>
            </w:r>
          </w:p>
        </w:tc>
      </w:tr>
      <w:tr w:rsidR="00854741">
        <w:trPr>
          <w:trHeight w:val="275"/>
        </w:trPr>
        <w:tc>
          <w:tcPr>
            <w:tcW w:w="1702" w:type="dxa"/>
          </w:tcPr>
          <w:p w:rsidR="00854741" w:rsidRDefault="00EF1442">
            <w:pPr>
              <w:pStyle w:val="TableParagraph"/>
              <w:spacing w:line="181" w:lineRule="exact"/>
              <w:ind w:left="48" w:right="38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before="40" w:line="240" w:lineRule="auto"/>
              <w:ind w:left="461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Priori Top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-</w:t>
            </w:r>
            <w:r>
              <w:rPr>
                <w:spacing w:val="-10"/>
                <w:sz w:val="16"/>
                <w:vertAlign w:val="superscript"/>
              </w:rPr>
              <w:t>1</w:t>
            </w:r>
          </w:p>
        </w:tc>
      </w:tr>
      <w:tr w:rsidR="00854741">
        <w:trPr>
          <w:trHeight w:val="275"/>
        </w:trPr>
        <w:tc>
          <w:tcPr>
            <w:tcW w:w="1702" w:type="dxa"/>
          </w:tcPr>
          <w:p w:rsidR="00854741" w:rsidRDefault="00EF1442">
            <w:pPr>
              <w:pStyle w:val="TableParagraph"/>
              <w:spacing w:line="181" w:lineRule="exact"/>
              <w:ind w:left="48" w:right="38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938" w:type="dxa"/>
          </w:tcPr>
          <w:p w:rsidR="00854741" w:rsidRDefault="00EF1442">
            <w:pPr>
              <w:pStyle w:val="TableParagraph"/>
              <w:spacing w:before="40" w:line="240" w:lineRule="auto"/>
              <w:ind w:left="461" w:right="3"/>
              <w:jc w:val="center"/>
              <w:rPr>
                <w:sz w:val="16"/>
              </w:rPr>
            </w:pPr>
            <w:r>
              <w:rPr>
                <w:sz w:val="16"/>
              </w:rPr>
              <w:t>0,6 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-</w:t>
            </w:r>
            <w:r>
              <w:rPr>
                <w:spacing w:val="-10"/>
                <w:sz w:val="16"/>
                <w:vertAlign w:val="superscript"/>
              </w:rPr>
              <w:t>1</w:t>
            </w:r>
          </w:p>
        </w:tc>
      </w:tr>
    </w:tbl>
    <w:p w:rsidR="00854741" w:rsidRDefault="00EF1442">
      <w:pPr>
        <w:pStyle w:val="Ttulo1"/>
        <w:numPr>
          <w:ilvl w:val="0"/>
          <w:numId w:val="1"/>
        </w:numPr>
        <w:tabs>
          <w:tab w:val="left" w:pos="380"/>
        </w:tabs>
        <w:spacing w:before="2"/>
        <w:jc w:val="both"/>
      </w:pPr>
      <w:r>
        <w:t xml:space="preserve">RESULTADOS E </w:t>
      </w:r>
      <w:r>
        <w:rPr>
          <w:spacing w:val="-2"/>
        </w:rPr>
        <w:t>DISCUSSÃO</w:t>
      </w:r>
    </w:p>
    <w:p w:rsidR="00854741" w:rsidRDefault="00EF1442">
      <w:pPr>
        <w:pStyle w:val="Corpodetexto"/>
        <w:spacing w:before="135" w:line="360" w:lineRule="auto"/>
        <w:ind w:left="140" w:right="143" w:firstLine="994"/>
        <w:jc w:val="both"/>
      </w:pPr>
      <w:r>
        <w:t>Verifica-se diferença estatisticamente significativa entre os tratamentos avaliados. A aplicação do Cobre Red</w:t>
      </w:r>
      <w:r>
        <w:rPr>
          <w:vertAlign w:val="superscript"/>
        </w:rPr>
        <w:t>®</w:t>
      </w:r>
      <w:r>
        <w:t xml:space="preserve"> em conjunto com o fungicida Priori Top</w:t>
      </w:r>
      <w:r>
        <w:rPr>
          <w:vertAlign w:val="superscript"/>
        </w:rPr>
        <w:t>®</w:t>
      </w:r>
      <w:r>
        <w:t xml:space="preserve"> apresentou efeito superior à testemunha na redução da severidade da ferrugem (Tabela 1).</w:t>
      </w:r>
    </w:p>
    <w:p w:rsidR="00854741" w:rsidRDefault="00EF1442">
      <w:pPr>
        <w:spacing w:before="139"/>
        <w:ind w:left="140" w:right="140"/>
        <w:jc w:val="both"/>
        <w:rPr>
          <w:sz w:val="20"/>
        </w:rPr>
      </w:pPr>
      <w:r>
        <w:rPr>
          <w:b/>
          <w:sz w:val="20"/>
        </w:rPr>
        <w:t xml:space="preserve">Tabela 1. </w:t>
      </w:r>
      <w:r>
        <w:rPr>
          <w:sz w:val="20"/>
        </w:rPr>
        <w:t>Resultados do teste de comparação de médias para o parâmetro para severidade de ferrugem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tecido foliar, avaliado em três períodos diferentes (05/05, 20/05, 04/06) em plantas de milho, submetido aos tratamentos de Cobre Red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e Priori Top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em diferentes dosagens via aplicação foliar. IFSULDEMINAS – </w:t>
      </w:r>
      <w:r>
        <w:rPr>
          <w:i/>
          <w:sz w:val="20"/>
        </w:rPr>
        <w:t xml:space="preserve">Campus </w:t>
      </w:r>
      <w:r>
        <w:rPr>
          <w:sz w:val="20"/>
        </w:rPr>
        <w:t>Muzambinho, Muzambinho/MG. 2025.</w:t>
      </w:r>
    </w:p>
    <w:p w:rsidR="00854741" w:rsidRDefault="00854741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2127"/>
        <w:gridCol w:w="1985"/>
        <w:gridCol w:w="1983"/>
      </w:tblGrid>
      <w:tr w:rsidR="00854741">
        <w:trPr>
          <w:trHeight w:val="208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8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Tratamentos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8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1ª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(05/05)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8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2ª </w:t>
            </w:r>
            <w:r>
              <w:rPr>
                <w:b/>
                <w:spacing w:val="-2"/>
                <w:sz w:val="18"/>
              </w:rPr>
              <w:t>Avaliação(20/05)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8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3ª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(04/06)</w:t>
            </w:r>
          </w:p>
        </w:tc>
      </w:tr>
      <w:tr w:rsidR="00854741">
        <w:trPr>
          <w:trHeight w:val="206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Testemunha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1.600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6" w:lineRule="exact"/>
              <w:ind w:left="717"/>
              <w:rPr>
                <w:sz w:val="18"/>
              </w:rPr>
            </w:pPr>
            <w:r>
              <w:rPr>
                <w:sz w:val="18"/>
              </w:rPr>
              <w:t>2.075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6" w:lineRule="exact"/>
              <w:ind w:left="717"/>
              <w:rPr>
                <w:sz w:val="18"/>
              </w:rPr>
            </w:pPr>
            <w:r>
              <w:rPr>
                <w:sz w:val="18"/>
              </w:rPr>
              <w:t>3.125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</w:tr>
      <w:tr w:rsidR="00854741">
        <w:trPr>
          <w:trHeight w:val="208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Red®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 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8" w:lineRule="exact"/>
              <w:ind w:left="791"/>
              <w:rPr>
                <w:sz w:val="18"/>
              </w:rPr>
            </w:pPr>
            <w:r>
              <w:rPr>
                <w:sz w:val="18"/>
              </w:rPr>
              <w:t>1.250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8" w:lineRule="exact"/>
              <w:ind w:left="722"/>
              <w:rPr>
                <w:sz w:val="18"/>
              </w:rPr>
            </w:pPr>
            <w:r>
              <w:rPr>
                <w:sz w:val="18"/>
              </w:rPr>
              <w:t>1.500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8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1.800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854741">
        <w:trPr>
          <w:trHeight w:val="206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Red®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 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6" w:lineRule="exact"/>
              <w:ind w:left="791"/>
              <w:rPr>
                <w:sz w:val="18"/>
              </w:rPr>
            </w:pPr>
            <w:r>
              <w:rPr>
                <w:sz w:val="18"/>
              </w:rPr>
              <w:t>1.100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6" w:lineRule="exact"/>
              <w:ind w:left="722"/>
              <w:rPr>
                <w:sz w:val="18"/>
              </w:rPr>
            </w:pPr>
            <w:r>
              <w:rPr>
                <w:sz w:val="18"/>
              </w:rPr>
              <w:t>1.275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1.950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854741">
        <w:trPr>
          <w:trHeight w:val="206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Red®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 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6" w:lineRule="exact"/>
              <w:ind w:left="791"/>
              <w:rPr>
                <w:sz w:val="18"/>
              </w:rPr>
            </w:pPr>
            <w:r>
              <w:rPr>
                <w:sz w:val="18"/>
              </w:rPr>
              <w:t>1.175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6" w:lineRule="exact"/>
              <w:ind w:left="722"/>
              <w:rPr>
                <w:sz w:val="18"/>
              </w:rPr>
            </w:pPr>
            <w:r>
              <w:rPr>
                <w:sz w:val="18"/>
              </w:rPr>
              <w:t>1.300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1.675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854741">
        <w:trPr>
          <w:trHeight w:val="209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before="1" w:line="240" w:lineRule="auto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Red®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 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before="2" w:line="187" w:lineRule="exact"/>
              <w:ind w:left="791"/>
              <w:rPr>
                <w:sz w:val="18"/>
              </w:rPr>
            </w:pPr>
            <w:r>
              <w:rPr>
                <w:sz w:val="18"/>
              </w:rPr>
              <w:t>1.200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before="2" w:line="187" w:lineRule="exact"/>
              <w:ind w:left="722"/>
              <w:rPr>
                <w:sz w:val="18"/>
              </w:rPr>
            </w:pPr>
            <w:r>
              <w:rPr>
                <w:sz w:val="18"/>
              </w:rPr>
              <w:t>1.275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before="2" w:line="187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1.675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854741">
        <w:trPr>
          <w:trHeight w:val="205"/>
        </w:trPr>
        <w:tc>
          <w:tcPr>
            <w:tcW w:w="3560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CV%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line="186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32,42</w:t>
            </w:r>
          </w:p>
        </w:tc>
        <w:tc>
          <w:tcPr>
            <w:tcW w:w="1985" w:type="dxa"/>
          </w:tcPr>
          <w:p w:rsidR="00854741" w:rsidRDefault="00EF1442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33,89</w:t>
            </w:r>
          </w:p>
        </w:tc>
        <w:tc>
          <w:tcPr>
            <w:tcW w:w="198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6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34,14</w:t>
            </w:r>
          </w:p>
        </w:tc>
      </w:tr>
    </w:tbl>
    <w:p w:rsidR="00854741" w:rsidRDefault="00EF1442">
      <w:pPr>
        <w:ind w:left="140"/>
        <w:jc w:val="both"/>
        <w:rPr>
          <w:sz w:val="16"/>
        </w:rPr>
      </w:pPr>
      <w:r>
        <w:rPr>
          <w:sz w:val="16"/>
        </w:rPr>
        <w:t>Médias</w:t>
      </w:r>
      <w:r>
        <w:rPr>
          <w:spacing w:val="-6"/>
          <w:sz w:val="16"/>
        </w:rPr>
        <w:t xml:space="preserve"> </w:t>
      </w:r>
      <w:r>
        <w:rPr>
          <w:sz w:val="16"/>
        </w:rPr>
        <w:t>seguidas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mesma</w:t>
      </w:r>
      <w:r>
        <w:rPr>
          <w:spacing w:val="-5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diferem</w:t>
      </w:r>
      <w:r>
        <w:rPr>
          <w:spacing w:val="-3"/>
          <w:sz w:val="16"/>
        </w:rPr>
        <w:t xml:space="preserve"> </w:t>
      </w:r>
      <w:r>
        <w:rPr>
          <w:sz w:val="16"/>
        </w:rPr>
        <w:t>estatisticamente</w:t>
      </w:r>
      <w:r>
        <w:rPr>
          <w:spacing w:val="-5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4"/>
          <w:sz w:val="16"/>
        </w:rPr>
        <w:t xml:space="preserve"> </w:t>
      </w:r>
      <w:r>
        <w:rPr>
          <w:sz w:val="16"/>
        </w:rPr>
        <w:t>teste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Tukey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5%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probabilidade.</w:t>
      </w:r>
    </w:p>
    <w:p w:rsidR="00EF1442" w:rsidRDefault="00EF1442" w:rsidP="00EF1442">
      <w:pPr>
        <w:pStyle w:val="NormalWeb"/>
        <w:spacing w:line="360" w:lineRule="auto"/>
        <w:jc w:val="both"/>
      </w:pPr>
      <w:r>
        <w:tab/>
        <w:t>Para a cercosporiose, verificou-se diferença estatística significativa entre a testemunha e os demais tratamentos (Tabela 2). Em relação aos parâmetros de produtividade, observou-se variação estatística no peso de grãos (g) quando comparados os tratamentos à testemunha (Tabela 3). De maneira semelhante, a produtividade, expressa em sacas ha⁻¹, apresentou diferenças significativas entre a testemunha e os demais tratamentos.</w:t>
      </w:r>
    </w:p>
    <w:p w:rsidR="00EF1442" w:rsidRDefault="00EF1442" w:rsidP="00EF1442">
      <w:pPr>
        <w:pStyle w:val="NormalWeb"/>
        <w:spacing w:line="360" w:lineRule="auto"/>
        <w:jc w:val="both"/>
      </w:pPr>
      <w:r>
        <w:t xml:space="preserve">Na primeira avaliação, o tratamento 3 (0,0 L ha⁻¹ de Cobre </w:t>
      </w:r>
      <w:proofErr w:type="spellStart"/>
      <w:r>
        <w:t>Red</w:t>
      </w:r>
      <w:proofErr w:type="spellEnd"/>
      <w:r>
        <w:t xml:space="preserve">® e 0,4 L ha⁻¹ de Priori Top®) apresentou melhor desempenho. Na segunda avaliação, os tratamentos 3 e 5 (0,6 L ha⁻¹ de Cobre </w:t>
      </w:r>
      <w:proofErr w:type="spellStart"/>
      <w:r>
        <w:t>Red</w:t>
      </w:r>
      <w:proofErr w:type="spellEnd"/>
      <w:r>
        <w:t xml:space="preserve">® e 0,4 L ha⁻¹ de Priori Top®) demonstraram resultados equivalentes. Na terceira avaliação, os tratamentos 4 (0,2 L ha⁻¹ de Cobre </w:t>
      </w:r>
      <w:proofErr w:type="spellStart"/>
      <w:r>
        <w:t>Red</w:t>
      </w:r>
      <w:proofErr w:type="spellEnd"/>
      <w:r>
        <w:t xml:space="preserve">® e 0,4 L ha⁻¹ de Priori Top®) e 5 não diferiram estatisticamente entre si. Ressalta-se que os </w:t>
      </w:r>
      <w:proofErr w:type="spellStart"/>
      <w:r>
        <w:t>triazóis</w:t>
      </w:r>
      <w:proofErr w:type="spellEnd"/>
      <w:r>
        <w:t xml:space="preserve"> atuam em fases mais avançadas do ciclo dos fungos, como colonização e </w:t>
      </w:r>
      <w:proofErr w:type="spellStart"/>
      <w:r>
        <w:t>pré</w:t>
      </w:r>
      <w:proofErr w:type="spellEnd"/>
      <w:r>
        <w:t xml:space="preserve">-esporulação, enquanto as </w:t>
      </w:r>
      <w:proofErr w:type="spellStart"/>
      <w:r>
        <w:t>estrobilurinas</w:t>
      </w:r>
      <w:proofErr w:type="spellEnd"/>
      <w:r>
        <w:t xml:space="preserve"> apresentam maior eficácia nas fases iniciais, como germinação de esporos e início da infecção (AGEITEC, 2015</w:t>
      </w:r>
      <w:proofErr w:type="gramStart"/>
      <w:r>
        <w:t>).Conforme</w:t>
      </w:r>
      <w:proofErr w:type="gramEnd"/>
      <w:r>
        <w:t xml:space="preserve"> os dados da Tabela 2, a testemunha diferiu estatisticamente dos demais tratamentos. Nas duas primeiras avaliações, o tratamento 5 (0,6 L ha⁻¹ de Cobre </w:t>
      </w:r>
      <w:proofErr w:type="spellStart"/>
      <w:r>
        <w:t>Red</w:t>
      </w:r>
      <w:proofErr w:type="spellEnd"/>
      <w:r>
        <w:t xml:space="preserve">® e 0,4 L ha⁻¹ de Priori Top®) destacou-se no controle da cercosporiose. Na terceira avaliação, os tratamentos 4 (0,2 L ha⁻¹ de Cobre </w:t>
      </w:r>
      <w:proofErr w:type="spellStart"/>
      <w:r>
        <w:t>Red</w:t>
      </w:r>
      <w:proofErr w:type="spellEnd"/>
      <w:r>
        <w:t>® e 0,4 L ha⁻¹ de Priori Top®) e 5 apresentaram eficácia semelhante. Destaca-se, ainda, que a indução de resistência representa alternativa relevante no manejo fitossanitário, uma vez que ativa os mecanismos naturais da planta por meio de agentes bióticos ou abióticos (KUHN et al., 2006; LLORENS et al., 2017).</w:t>
      </w:r>
    </w:p>
    <w:p w:rsidR="00854741" w:rsidRDefault="00EF1442">
      <w:pPr>
        <w:spacing w:after="8"/>
        <w:ind w:left="140" w:right="141"/>
        <w:jc w:val="both"/>
        <w:rPr>
          <w:sz w:val="20"/>
        </w:rPr>
      </w:pPr>
      <w:r>
        <w:rPr>
          <w:b/>
          <w:sz w:val="20"/>
        </w:rPr>
        <w:t xml:space="preserve">Tabela 2. </w:t>
      </w:r>
      <w:r>
        <w:rPr>
          <w:sz w:val="20"/>
        </w:rPr>
        <w:t xml:space="preserve">Resultados da análise comparativa das médias referentes à severidade da cercosporiose em folhas de milho, avaliadas em três datas distintas (05/05, 20/05 e 04/06). As plantas foram tratadas com diferentes doses dos produtos Cobre Red® e Priori Top®, aplicados via foliar. O experimento foi conduzido no IFSULDEMINAS – </w:t>
      </w:r>
      <w:r>
        <w:rPr>
          <w:i/>
          <w:sz w:val="20"/>
        </w:rPr>
        <w:t xml:space="preserve">Campus </w:t>
      </w:r>
      <w:r>
        <w:rPr>
          <w:sz w:val="20"/>
        </w:rPr>
        <w:t>Muzambinho, Muzambinho/MG,2025.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2127"/>
        <w:gridCol w:w="1986"/>
        <w:gridCol w:w="1841"/>
      </w:tblGrid>
      <w:tr w:rsidR="00854741">
        <w:trPr>
          <w:trHeight w:val="206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Tratamentos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1ª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(05/05)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2ª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(20/05)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3ª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(04/06)</w:t>
            </w:r>
          </w:p>
        </w:tc>
      </w:tr>
      <w:tr w:rsidR="00854741">
        <w:trPr>
          <w:trHeight w:val="205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Testemunha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818"/>
              <w:rPr>
                <w:sz w:val="16"/>
              </w:rPr>
            </w:pPr>
            <w:r>
              <w:rPr>
                <w:sz w:val="16"/>
              </w:rPr>
              <w:t>2.325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>3.075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left="675"/>
              <w:rPr>
                <w:sz w:val="16"/>
              </w:rPr>
            </w:pPr>
            <w:r>
              <w:rPr>
                <w:sz w:val="16"/>
              </w:rPr>
              <w:t>4.050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</w:tr>
      <w:tr w:rsidR="00854741">
        <w:trPr>
          <w:trHeight w:val="208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before="1" w:line="240" w:lineRule="auto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z w:val="16"/>
                <w:vertAlign w:val="superscript"/>
              </w:rPr>
              <w:t>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</w:t>
            </w:r>
            <w:r>
              <w:rPr>
                <w:b/>
                <w:spacing w:val="-4"/>
                <w:sz w:val="16"/>
                <w:vertAlign w:val="superscript"/>
              </w:rPr>
              <w:t>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spacing w:before="1" w:line="240" w:lineRule="auto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1.700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spacing w:before="1" w:line="240" w:lineRule="auto"/>
              <w:ind w:left="750"/>
              <w:rPr>
                <w:sz w:val="16"/>
              </w:rPr>
            </w:pPr>
            <w:r>
              <w:rPr>
                <w:sz w:val="16"/>
              </w:rPr>
              <w:t>2.100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before="1" w:line="240" w:lineRule="auto"/>
              <w:ind w:left="680"/>
              <w:rPr>
                <w:sz w:val="16"/>
              </w:rPr>
            </w:pPr>
            <w:r>
              <w:rPr>
                <w:sz w:val="16"/>
              </w:rPr>
              <w:t>2.500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05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z w:val="16"/>
                <w:vertAlign w:val="superscript"/>
              </w:rPr>
              <w:t>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</w:t>
            </w:r>
            <w:r>
              <w:rPr>
                <w:b/>
                <w:spacing w:val="-4"/>
                <w:sz w:val="16"/>
                <w:vertAlign w:val="superscript"/>
              </w:rPr>
              <w:t>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822"/>
              <w:rPr>
                <w:sz w:val="16"/>
              </w:rPr>
            </w:pPr>
            <w:r>
              <w:rPr>
                <w:sz w:val="16"/>
              </w:rPr>
              <w:t>1.550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1.800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>2.425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08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z w:val="16"/>
                <w:vertAlign w:val="superscript"/>
              </w:rPr>
              <w:t>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</w:t>
            </w:r>
            <w:r>
              <w:rPr>
                <w:b/>
                <w:spacing w:val="-4"/>
                <w:sz w:val="16"/>
                <w:vertAlign w:val="superscript"/>
              </w:rPr>
              <w:t>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822"/>
              <w:rPr>
                <w:sz w:val="16"/>
              </w:rPr>
            </w:pPr>
            <w:r>
              <w:rPr>
                <w:sz w:val="16"/>
              </w:rPr>
              <w:t>1.475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1.800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>2.350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06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0,6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z w:val="16"/>
                <w:vertAlign w:val="superscript"/>
              </w:rPr>
              <w:t>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ha-1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Top</w:t>
            </w:r>
            <w:r>
              <w:rPr>
                <w:b/>
                <w:spacing w:val="-4"/>
                <w:sz w:val="16"/>
                <w:vertAlign w:val="superscript"/>
              </w:rPr>
              <w:t>®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822"/>
              <w:rPr>
                <w:sz w:val="16"/>
              </w:rPr>
            </w:pPr>
            <w:r>
              <w:rPr>
                <w:sz w:val="16"/>
              </w:rPr>
              <w:t>1.400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1.700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>2.350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08"/>
        </w:trPr>
        <w:tc>
          <w:tcPr>
            <w:tcW w:w="3702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CV%</w:t>
            </w:r>
          </w:p>
        </w:tc>
        <w:tc>
          <w:tcPr>
            <w:tcW w:w="2127" w:type="dxa"/>
          </w:tcPr>
          <w:p w:rsidR="00854741" w:rsidRDefault="00EF1442">
            <w:pPr>
              <w:pStyle w:val="TableParagraph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32,43</w:t>
            </w:r>
          </w:p>
        </w:tc>
        <w:tc>
          <w:tcPr>
            <w:tcW w:w="1986" w:type="dxa"/>
          </w:tcPr>
          <w:p w:rsidR="00854741" w:rsidRDefault="00EF1442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32,03</w:t>
            </w:r>
          </w:p>
        </w:tc>
        <w:tc>
          <w:tcPr>
            <w:tcW w:w="1841" w:type="dxa"/>
            <w:tcBorders>
              <w:right w:val="nil"/>
            </w:tcBorders>
          </w:tcPr>
          <w:p w:rsidR="00854741" w:rsidRDefault="00EF1442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27,02</w:t>
            </w:r>
          </w:p>
        </w:tc>
      </w:tr>
    </w:tbl>
    <w:p w:rsidR="00854741" w:rsidRDefault="00EF1442">
      <w:pPr>
        <w:ind w:left="140"/>
        <w:jc w:val="both"/>
        <w:rPr>
          <w:sz w:val="16"/>
        </w:rPr>
      </w:pPr>
      <w:r>
        <w:rPr>
          <w:sz w:val="16"/>
        </w:rPr>
        <w:t>Médias</w:t>
      </w:r>
      <w:r>
        <w:rPr>
          <w:spacing w:val="-6"/>
          <w:sz w:val="16"/>
        </w:rPr>
        <w:t xml:space="preserve"> </w:t>
      </w:r>
      <w:r>
        <w:rPr>
          <w:sz w:val="16"/>
        </w:rPr>
        <w:t>seguidas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mesma</w:t>
      </w:r>
      <w:r>
        <w:rPr>
          <w:spacing w:val="-5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diferem</w:t>
      </w:r>
      <w:r>
        <w:rPr>
          <w:spacing w:val="-3"/>
          <w:sz w:val="16"/>
        </w:rPr>
        <w:t xml:space="preserve"> </w:t>
      </w:r>
      <w:r>
        <w:rPr>
          <w:sz w:val="16"/>
        </w:rPr>
        <w:t>estatisticamente</w:t>
      </w:r>
      <w:r>
        <w:rPr>
          <w:spacing w:val="-5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4"/>
          <w:sz w:val="16"/>
        </w:rPr>
        <w:t xml:space="preserve"> </w:t>
      </w:r>
      <w:r>
        <w:rPr>
          <w:sz w:val="16"/>
        </w:rPr>
        <w:t>teste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Tukey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5%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probabilidade.</w:t>
      </w:r>
    </w:p>
    <w:p w:rsidR="00854741" w:rsidRDefault="00EF1442">
      <w:pPr>
        <w:pStyle w:val="Corpodetexto"/>
        <w:spacing w:before="89" w:line="360" w:lineRule="auto"/>
        <w:ind w:left="140" w:right="139" w:firstLine="720"/>
        <w:jc w:val="both"/>
      </w:pPr>
      <w:r>
        <w:t>Verifica-se na tabela 3,que houve diferença significativa no parâmetro produtividade, avaliada em sacas por hectare, em</w:t>
      </w:r>
      <w:r>
        <w:rPr>
          <w:spacing w:val="40"/>
        </w:rPr>
        <w:t xml:space="preserve"> </w:t>
      </w:r>
      <w:r>
        <w:t>relação à testemunha. Todavia não houve diferença entre as dosagens dos produtos utilizados. Analisando os valores absolutos dos diferentes tratamentos, verifica-se que o tratamento 3 (0,0 L ha</w:t>
      </w:r>
      <w:r>
        <w:rPr>
          <w:vertAlign w:val="superscript"/>
        </w:rPr>
        <w:t>-1</w:t>
      </w:r>
      <w:r>
        <w:t xml:space="preserve"> Cobre Red</w:t>
      </w:r>
      <w:r>
        <w:rPr>
          <w:vertAlign w:val="superscript"/>
        </w:rPr>
        <w:t>®</w:t>
      </w:r>
      <w:r>
        <w:t xml:space="preserve"> e 0,4 L ha</w:t>
      </w:r>
      <w:r>
        <w:rPr>
          <w:vertAlign w:val="superscript"/>
        </w:rPr>
        <w:t>-1</w:t>
      </w:r>
      <w:r>
        <w:t xml:space="preserve"> Priori Top</w:t>
      </w:r>
      <w:r>
        <w:rPr>
          <w:vertAlign w:val="superscript"/>
        </w:rPr>
        <w:t>®</w:t>
      </w:r>
      <w:r>
        <w:t>), acusou numericamente maior produção de sacos por hectare. Em relação à testemunha, todos os demais tratamentos sobressaíram, com uma produção, consideravelmente elevados.</w:t>
      </w:r>
    </w:p>
    <w:p w:rsidR="00854741" w:rsidRDefault="00EF1442">
      <w:pPr>
        <w:spacing w:after="6"/>
        <w:ind w:left="140" w:right="138"/>
        <w:jc w:val="both"/>
        <w:rPr>
          <w:sz w:val="20"/>
        </w:rPr>
      </w:pPr>
      <w:r>
        <w:rPr>
          <w:b/>
          <w:sz w:val="20"/>
        </w:rPr>
        <w:t xml:space="preserve">Tabela 3. </w:t>
      </w:r>
      <w:r>
        <w:rPr>
          <w:sz w:val="20"/>
        </w:rPr>
        <w:t>Resultados do teste de comparação de médias para o parâmetro produtividade em sacas ha</w:t>
      </w:r>
      <w:r>
        <w:rPr>
          <w:sz w:val="20"/>
          <w:vertAlign w:val="superscript"/>
        </w:rPr>
        <w:t>-1</w:t>
      </w:r>
      <w:r>
        <w:rPr>
          <w:sz w:val="20"/>
        </w:rPr>
        <w:t xml:space="preserve"> avaliada em plantas de milho, submetido aos tratamentos de Cobre Red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e Priori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em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diferentes dosagens aplicado via foliar no estádio V6. IFSULDEMINAS – </w:t>
      </w:r>
      <w:r>
        <w:rPr>
          <w:i/>
          <w:sz w:val="20"/>
        </w:rPr>
        <w:t xml:space="preserve">Campus </w:t>
      </w:r>
      <w:r>
        <w:rPr>
          <w:sz w:val="20"/>
        </w:rPr>
        <w:t>Muzambinho, Muzambinho/MG, 2025.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5313"/>
      </w:tblGrid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Tratamentos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1" w:lineRule="exact"/>
              <w:ind w:right="220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PROD</w:t>
            </w:r>
          </w:p>
        </w:tc>
      </w:tr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Testemunha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78" w:lineRule="exact"/>
              <w:ind w:right="2108"/>
              <w:jc w:val="right"/>
              <w:rPr>
                <w:sz w:val="16"/>
              </w:rPr>
            </w:pPr>
            <w:r>
              <w:rPr>
                <w:sz w:val="16"/>
              </w:rPr>
              <w:t>108.283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</w:tr>
      <w:tr w:rsidR="00854741">
        <w:trPr>
          <w:trHeight w:val="277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ind w:left="47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top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1" w:lineRule="exact"/>
              <w:ind w:right="2131"/>
              <w:jc w:val="right"/>
              <w:rPr>
                <w:sz w:val="16"/>
              </w:rPr>
            </w:pPr>
            <w:r>
              <w:rPr>
                <w:sz w:val="16"/>
              </w:rPr>
              <w:t>123.675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top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78" w:lineRule="exact"/>
              <w:ind w:right="2112"/>
              <w:jc w:val="right"/>
              <w:rPr>
                <w:sz w:val="16"/>
              </w:rPr>
            </w:pPr>
            <w:r>
              <w:rPr>
                <w:sz w:val="16"/>
              </w:rPr>
              <w:t>135.638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top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78" w:lineRule="exact"/>
              <w:ind w:right="2112"/>
              <w:jc w:val="right"/>
              <w:rPr>
                <w:sz w:val="16"/>
              </w:rPr>
            </w:pPr>
            <w:r>
              <w:rPr>
                <w:sz w:val="16"/>
              </w:rPr>
              <w:t>131.593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top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78" w:lineRule="exact"/>
              <w:ind w:right="2112"/>
              <w:jc w:val="right"/>
              <w:rPr>
                <w:sz w:val="16"/>
              </w:rPr>
            </w:pPr>
            <w:r>
              <w:rPr>
                <w:sz w:val="16"/>
              </w:rPr>
              <w:t>132.282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854741">
        <w:trPr>
          <w:trHeight w:val="275"/>
        </w:trPr>
        <w:tc>
          <w:tcPr>
            <w:tcW w:w="4343" w:type="dxa"/>
            <w:tcBorders>
              <w:left w:val="nil"/>
            </w:tcBorders>
          </w:tcPr>
          <w:p w:rsidR="00854741" w:rsidRDefault="00EF1442">
            <w:pPr>
              <w:pStyle w:val="TableParagraph"/>
              <w:spacing w:line="181" w:lineRule="exact"/>
              <w:ind w:left="472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CV%</w:t>
            </w:r>
          </w:p>
        </w:tc>
        <w:tc>
          <w:tcPr>
            <w:tcW w:w="5313" w:type="dxa"/>
            <w:tcBorders>
              <w:right w:val="nil"/>
            </w:tcBorders>
          </w:tcPr>
          <w:p w:rsidR="00854741" w:rsidRDefault="00EF1442">
            <w:pPr>
              <w:pStyle w:val="TableParagraph"/>
              <w:spacing w:line="181" w:lineRule="exact"/>
              <w:ind w:right="2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18,96</w:t>
            </w:r>
          </w:p>
        </w:tc>
      </w:tr>
    </w:tbl>
    <w:p w:rsidR="00854741" w:rsidRDefault="00EF1442">
      <w:pPr>
        <w:ind w:left="140"/>
        <w:jc w:val="both"/>
        <w:rPr>
          <w:sz w:val="16"/>
        </w:rPr>
      </w:pPr>
      <w:r>
        <w:rPr>
          <w:sz w:val="16"/>
        </w:rPr>
        <w:t>Médias</w:t>
      </w:r>
      <w:r>
        <w:rPr>
          <w:spacing w:val="-6"/>
          <w:sz w:val="16"/>
        </w:rPr>
        <w:t xml:space="preserve"> </w:t>
      </w:r>
      <w:r>
        <w:rPr>
          <w:sz w:val="16"/>
        </w:rPr>
        <w:t>seguidas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mesma</w:t>
      </w:r>
      <w:r>
        <w:rPr>
          <w:spacing w:val="-5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diferem</w:t>
      </w:r>
      <w:r>
        <w:rPr>
          <w:spacing w:val="-3"/>
          <w:sz w:val="16"/>
        </w:rPr>
        <w:t xml:space="preserve"> </w:t>
      </w:r>
      <w:r>
        <w:rPr>
          <w:sz w:val="16"/>
        </w:rPr>
        <w:t>estatisticamente</w:t>
      </w:r>
      <w:r>
        <w:rPr>
          <w:spacing w:val="-5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4"/>
          <w:sz w:val="16"/>
        </w:rPr>
        <w:t xml:space="preserve"> </w:t>
      </w:r>
      <w:r>
        <w:rPr>
          <w:sz w:val="16"/>
        </w:rPr>
        <w:t>teste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Tukey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5%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probabilidade.</w:t>
      </w:r>
    </w:p>
    <w:p w:rsidR="00854741" w:rsidRDefault="00EF1442">
      <w:pPr>
        <w:pStyle w:val="Ttulo1"/>
        <w:numPr>
          <w:ilvl w:val="0"/>
          <w:numId w:val="1"/>
        </w:numPr>
        <w:tabs>
          <w:tab w:val="left" w:pos="380"/>
        </w:tabs>
        <w:spacing w:before="95"/>
      </w:pPr>
      <w:r>
        <w:rPr>
          <w:spacing w:val="-2"/>
        </w:rPr>
        <w:t>CONCLUSÃO</w:t>
      </w:r>
    </w:p>
    <w:p w:rsidR="00854741" w:rsidRDefault="00854741">
      <w:pPr>
        <w:pStyle w:val="Ttulo1"/>
        <w:sectPr w:rsidR="00854741">
          <w:pgSz w:w="11910" w:h="16840"/>
          <w:pgMar w:top="1000" w:right="992" w:bottom="280" w:left="992" w:header="720" w:footer="720" w:gutter="0"/>
          <w:cols w:space="720"/>
        </w:sectPr>
      </w:pPr>
    </w:p>
    <w:p w:rsidR="00854741" w:rsidRDefault="00EF1442">
      <w:pPr>
        <w:pStyle w:val="Corpodetexto"/>
        <w:spacing w:before="108" w:line="360" w:lineRule="auto"/>
        <w:ind w:left="140" w:right="142" w:firstLine="994"/>
        <w:jc w:val="both"/>
      </w:pPr>
      <w:r>
        <w:t>Os produtos Cobre Red</w:t>
      </w:r>
      <w:r>
        <w:rPr>
          <w:vertAlign w:val="superscript"/>
        </w:rPr>
        <w:t>®</w:t>
      </w:r>
      <w:r>
        <w:t xml:space="preserve"> e Priori Top</w:t>
      </w:r>
      <w:r>
        <w:rPr>
          <w:vertAlign w:val="superscript"/>
        </w:rPr>
        <w:t>®</w:t>
      </w:r>
      <w:r>
        <w:t xml:space="preserve"> apresentaram efeitos significativos na redução da severidade de doenças foliares (ferrugem e cercosporiose) e no aumento da produtividade do milho. Todos os tratamentos que utilizaram os produtos, isoladamente ou em combinação, mostraram diferenças estatísticas positivas em relação à testemunha, evidenciando a eficiência da aplicação foliar desses insumos nas condições em que o experimento foi conduzido.</w:t>
      </w:r>
    </w:p>
    <w:p w:rsidR="00854741" w:rsidRDefault="00854741">
      <w:pPr>
        <w:pStyle w:val="Corpodetexto"/>
        <w:spacing w:before="144"/>
      </w:pPr>
    </w:p>
    <w:p w:rsidR="00854741" w:rsidRDefault="00EF1442">
      <w:pPr>
        <w:pStyle w:val="Ttulo1"/>
        <w:ind w:firstLine="0"/>
      </w:pPr>
      <w:r>
        <w:rPr>
          <w:spacing w:val="-2"/>
        </w:rPr>
        <w:t>REFERÊNCIAS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AGÊNCIA EMBRAPA DE INFORMAÇÃO TECNOLÓGICA. </w:t>
      </w:r>
      <w:r w:rsidRPr="00EF1442">
        <w:rPr>
          <w:b/>
          <w:bCs/>
          <w:sz w:val="24"/>
          <w:szCs w:val="24"/>
          <w:lang w:val="pt-BR" w:eastAsia="pt-BR"/>
        </w:rPr>
        <w:t>AGEITEC</w:t>
      </w:r>
      <w:r w:rsidRPr="00EF1442">
        <w:rPr>
          <w:sz w:val="24"/>
          <w:szCs w:val="24"/>
          <w:lang w:val="pt-BR" w:eastAsia="pt-BR"/>
        </w:rPr>
        <w:t>. Controle químico de doenças. 2015.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AGROCERES. </w:t>
      </w:r>
      <w:r w:rsidRPr="00EF1442">
        <w:rPr>
          <w:b/>
          <w:bCs/>
          <w:sz w:val="24"/>
          <w:szCs w:val="24"/>
          <w:lang w:val="pt-BR" w:eastAsia="pt-BR"/>
        </w:rPr>
        <w:t>Guia Agroceres de sanidade</w:t>
      </w:r>
      <w:r w:rsidRPr="00EF1442">
        <w:rPr>
          <w:sz w:val="24"/>
          <w:szCs w:val="24"/>
          <w:lang w:val="pt-BR" w:eastAsia="pt-BR"/>
        </w:rPr>
        <w:t>. São Paulo: Sementes Agroceres, 1996. 72 p.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BONALDO, S. M.; PAULA, D. L. de; CARREMISSIO, V. Avaliação de aplicação de fungicida em milho safrinha no município de Boa Esperança, Paraná. </w:t>
      </w:r>
      <w:r w:rsidRPr="00EF1442">
        <w:rPr>
          <w:i/>
          <w:iCs/>
          <w:sz w:val="24"/>
          <w:szCs w:val="24"/>
          <w:lang w:val="pt-BR" w:eastAsia="pt-BR"/>
        </w:rPr>
        <w:t xml:space="preserve">Campo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Digit@l</w:t>
      </w:r>
      <w:proofErr w:type="spellEnd"/>
      <w:r w:rsidRPr="00EF1442">
        <w:rPr>
          <w:sz w:val="24"/>
          <w:szCs w:val="24"/>
          <w:lang w:val="pt-BR" w:eastAsia="pt-BR"/>
        </w:rPr>
        <w:t>, Campo Mourão, v. 5, n. 1, p. 1-7, 2010.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BORIN, R. C. </w:t>
      </w:r>
      <w:r w:rsidRPr="00EF1442">
        <w:rPr>
          <w:b/>
          <w:bCs/>
          <w:sz w:val="24"/>
          <w:szCs w:val="24"/>
          <w:lang w:val="pt-BR" w:eastAsia="pt-BR"/>
        </w:rPr>
        <w:t>Fungicidas associados à fosfitos e complexos nutricionais interferem na qualidade de sementes de milho</w:t>
      </w:r>
      <w:r w:rsidRPr="00EF1442">
        <w:rPr>
          <w:sz w:val="24"/>
          <w:szCs w:val="24"/>
          <w:lang w:val="pt-BR" w:eastAsia="pt-BR"/>
        </w:rPr>
        <w:t>. 2017. 83 f. Dissertação (Mestrado em Agronomia) – Universidade Tecnológica Federal do Paraná, Dois Vizinhos, 2017.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CASA, R. T.; REIS, E. M. Doenças na cultura do milho. In: FANCELLI, A. L.; DOURADO NETO, D. (org.). </w:t>
      </w:r>
      <w:r w:rsidRPr="00EF1442">
        <w:rPr>
          <w:b/>
          <w:bCs/>
          <w:sz w:val="24"/>
          <w:szCs w:val="24"/>
          <w:lang w:val="pt-BR" w:eastAsia="pt-BR"/>
        </w:rPr>
        <w:t>Milho: estratégia de manejo para alta produtividade</w:t>
      </w:r>
      <w:r w:rsidRPr="00EF1442">
        <w:rPr>
          <w:sz w:val="24"/>
          <w:szCs w:val="24"/>
          <w:lang w:val="pt-BR" w:eastAsia="pt-BR"/>
        </w:rPr>
        <w:t>. Piracicaba: ESALQ/USP, 2003. p. 1-18.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DONATO, F. V.; BONALDO, S. M. Avaliação de diferentes fungicidas no controle de doenças foliares no milho na região Norte de Mato Grosso. </w:t>
      </w:r>
      <w:r w:rsidRPr="00EF1442">
        <w:rPr>
          <w:i/>
          <w:iCs/>
          <w:sz w:val="24"/>
          <w:szCs w:val="24"/>
          <w:lang w:val="pt-BR" w:eastAsia="pt-BR"/>
        </w:rPr>
        <w:t>Enciclopédia Biosfera</w:t>
      </w:r>
      <w:r w:rsidRPr="00EF1442">
        <w:rPr>
          <w:sz w:val="24"/>
          <w:szCs w:val="24"/>
          <w:lang w:val="pt-BR" w:eastAsia="pt-BR"/>
        </w:rPr>
        <w:t>, Goiânia, v. 9, n. 17, p. 375-384, 2013.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DUARTE, R. P.; JULIATTI, F. C.; FREITAS, P. T. Eficácia de diferentes fungicidas na cultura do milho.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Bioscience</w:t>
      </w:r>
      <w:proofErr w:type="spellEnd"/>
      <w:r w:rsidRPr="00EF1442">
        <w:rPr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Journal</w:t>
      </w:r>
      <w:proofErr w:type="spellEnd"/>
      <w:r w:rsidRPr="00EF1442">
        <w:rPr>
          <w:sz w:val="24"/>
          <w:szCs w:val="24"/>
          <w:lang w:val="pt-BR" w:eastAsia="pt-BR"/>
        </w:rPr>
        <w:t>, Uberlândia, v. 25, n. 4, p. 101-111, 2009.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HUBER, D. M.; WILHELM, N. S. The role </w:t>
      </w:r>
      <w:proofErr w:type="spellStart"/>
      <w:r w:rsidRPr="00EF1442">
        <w:rPr>
          <w:sz w:val="24"/>
          <w:szCs w:val="24"/>
          <w:lang w:val="pt-BR" w:eastAsia="pt-BR"/>
        </w:rPr>
        <w:t>of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manganese</w:t>
      </w:r>
      <w:proofErr w:type="spellEnd"/>
      <w:r w:rsidRPr="00EF1442">
        <w:rPr>
          <w:sz w:val="24"/>
          <w:szCs w:val="24"/>
          <w:lang w:val="pt-BR" w:eastAsia="pt-BR"/>
        </w:rPr>
        <w:t xml:space="preserve"> in </w:t>
      </w:r>
      <w:proofErr w:type="spellStart"/>
      <w:r w:rsidRPr="00EF1442">
        <w:rPr>
          <w:sz w:val="24"/>
          <w:szCs w:val="24"/>
          <w:lang w:val="pt-BR" w:eastAsia="pt-BR"/>
        </w:rPr>
        <w:t>resistance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to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plant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disease</w:t>
      </w:r>
      <w:proofErr w:type="spellEnd"/>
      <w:r w:rsidRPr="00EF1442">
        <w:rPr>
          <w:sz w:val="24"/>
          <w:szCs w:val="24"/>
          <w:lang w:val="pt-BR" w:eastAsia="pt-BR"/>
        </w:rPr>
        <w:t xml:space="preserve">. In: GRAHAM, R. D.; HANNAM, R. J.; UREN, N. C. (ed.). </w:t>
      </w:r>
      <w:proofErr w:type="spellStart"/>
      <w:r w:rsidRPr="00EF1442">
        <w:rPr>
          <w:b/>
          <w:bCs/>
          <w:sz w:val="24"/>
          <w:szCs w:val="24"/>
          <w:lang w:val="pt-BR" w:eastAsia="pt-BR"/>
        </w:rPr>
        <w:t>Manganese</w:t>
      </w:r>
      <w:proofErr w:type="spellEnd"/>
      <w:r w:rsidRPr="00EF1442">
        <w:rPr>
          <w:b/>
          <w:bCs/>
          <w:sz w:val="24"/>
          <w:szCs w:val="24"/>
          <w:lang w:val="pt-BR" w:eastAsia="pt-BR"/>
        </w:rPr>
        <w:t xml:space="preserve"> in </w:t>
      </w:r>
      <w:proofErr w:type="spellStart"/>
      <w:r w:rsidRPr="00EF1442">
        <w:rPr>
          <w:b/>
          <w:bCs/>
          <w:sz w:val="24"/>
          <w:szCs w:val="24"/>
          <w:lang w:val="pt-BR" w:eastAsia="pt-BR"/>
        </w:rPr>
        <w:t>soils</w:t>
      </w:r>
      <w:proofErr w:type="spellEnd"/>
      <w:r w:rsidRPr="00EF1442">
        <w:rPr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b/>
          <w:bCs/>
          <w:sz w:val="24"/>
          <w:szCs w:val="24"/>
          <w:lang w:val="pt-BR" w:eastAsia="pt-BR"/>
        </w:rPr>
        <w:t>and</w:t>
      </w:r>
      <w:proofErr w:type="spellEnd"/>
      <w:r w:rsidRPr="00EF1442">
        <w:rPr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b/>
          <w:bCs/>
          <w:sz w:val="24"/>
          <w:szCs w:val="24"/>
          <w:lang w:val="pt-BR" w:eastAsia="pt-BR"/>
        </w:rPr>
        <w:t>plants</w:t>
      </w:r>
      <w:proofErr w:type="spellEnd"/>
      <w:r w:rsidRPr="00EF1442">
        <w:rPr>
          <w:sz w:val="24"/>
          <w:szCs w:val="24"/>
          <w:lang w:val="pt-BR" w:eastAsia="pt-BR"/>
        </w:rPr>
        <w:t xml:space="preserve">. Dordrecht: </w:t>
      </w:r>
      <w:proofErr w:type="spellStart"/>
      <w:r w:rsidRPr="00EF1442">
        <w:rPr>
          <w:sz w:val="24"/>
          <w:szCs w:val="24"/>
          <w:lang w:val="pt-BR" w:eastAsia="pt-BR"/>
        </w:rPr>
        <w:t>Kluwer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Academic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Publishers</w:t>
      </w:r>
      <w:proofErr w:type="spellEnd"/>
      <w:r w:rsidRPr="00EF1442">
        <w:rPr>
          <w:sz w:val="24"/>
          <w:szCs w:val="24"/>
          <w:lang w:val="pt-BR" w:eastAsia="pt-BR"/>
        </w:rPr>
        <w:t>, 1988. p. 155-173.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JULIATTI, F. C. et al. Controle da </w:t>
      </w:r>
      <w:proofErr w:type="spellStart"/>
      <w:r w:rsidRPr="00EF1442">
        <w:rPr>
          <w:sz w:val="24"/>
          <w:szCs w:val="24"/>
          <w:lang w:val="pt-BR" w:eastAsia="pt-BR"/>
        </w:rPr>
        <w:t>feosféria</w:t>
      </w:r>
      <w:proofErr w:type="spellEnd"/>
      <w:r w:rsidRPr="00EF1442">
        <w:rPr>
          <w:sz w:val="24"/>
          <w:szCs w:val="24"/>
          <w:lang w:val="pt-BR" w:eastAsia="pt-BR"/>
        </w:rPr>
        <w:t xml:space="preserve">, ferrugem comum e cercosporiose pelo uso da resistência genética, fungicidas e épocas de aplicação na cultura do milho.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Bioscience</w:t>
      </w:r>
      <w:proofErr w:type="spellEnd"/>
      <w:r w:rsidRPr="00EF1442">
        <w:rPr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Journal</w:t>
      </w:r>
      <w:proofErr w:type="spellEnd"/>
      <w:r w:rsidRPr="00EF1442">
        <w:rPr>
          <w:sz w:val="24"/>
          <w:szCs w:val="24"/>
          <w:lang w:val="pt-BR" w:eastAsia="pt-BR"/>
        </w:rPr>
        <w:t>, Uberlândia, v. 20, n. 3, p. 45-54, 2004.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KUHN, O. J. et al. Indução de resistência em plantas: mecanismos de defesa e potencial de utilização no manejo de doenças.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Summa</w:t>
      </w:r>
      <w:proofErr w:type="spellEnd"/>
      <w:r w:rsidRPr="00EF1442">
        <w:rPr>
          <w:i/>
          <w:iCs/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Phytopathologica</w:t>
      </w:r>
      <w:proofErr w:type="spellEnd"/>
      <w:r w:rsidRPr="00EF1442">
        <w:rPr>
          <w:sz w:val="24"/>
          <w:szCs w:val="24"/>
          <w:lang w:val="pt-BR" w:eastAsia="pt-BR"/>
        </w:rPr>
        <w:t>, Botucatu, v. 32, n. 2, p. 161-170, 2006.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LLORENS, E.; FERNÁNDEZ-CRESPO, E.; GARCÍA-AGUSTÍN, P.; LUIS, J. V. </w:t>
      </w:r>
      <w:proofErr w:type="spellStart"/>
      <w:r w:rsidRPr="00EF1442">
        <w:rPr>
          <w:sz w:val="24"/>
          <w:szCs w:val="24"/>
          <w:lang w:val="pt-BR" w:eastAsia="pt-BR"/>
        </w:rPr>
        <w:t>Priming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plant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resistance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by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activation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of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secondary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metabolism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and</w:t>
      </w:r>
      <w:proofErr w:type="spellEnd"/>
      <w:r w:rsidRPr="00EF1442">
        <w:rPr>
          <w:sz w:val="24"/>
          <w:szCs w:val="24"/>
          <w:lang w:val="pt-BR" w:eastAsia="pt-BR"/>
        </w:rPr>
        <w:t xml:space="preserve"> </w:t>
      </w:r>
      <w:proofErr w:type="spellStart"/>
      <w:r w:rsidRPr="00EF1442">
        <w:rPr>
          <w:sz w:val="24"/>
          <w:szCs w:val="24"/>
          <w:lang w:val="pt-BR" w:eastAsia="pt-BR"/>
        </w:rPr>
        <w:t>oxidative</w:t>
      </w:r>
      <w:proofErr w:type="spellEnd"/>
      <w:r w:rsidRPr="00EF1442">
        <w:rPr>
          <w:sz w:val="24"/>
          <w:szCs w:val="24"/>
          <w:lang w:val="pt-BR" w:eastAsia="pt-BR"/>
        </w:rPr>
        <w:t xml:space="preserve"> stress.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Frontiers</w:t>
      </w:r>
      <w:proofErr w:type="spellEnd"/>
      <w:r w:rsidRPr="00EF1442">
        <w:rPr>
          <w:i/>
          <w:iCs/>
          <w:sz w:val="24"/>
          <w:szCs w:val="24"/>
          <w:lang w:val="pt-BR" w:eastAsia="pt-BR"/>
        </w:rPr>
        <w:t xml:space="preserve"> in </w:t>
      </w:r>
      <w:proofErr w:type="spellStart"/>
      <w:r w:rsidRPr="00EF1442">
        <w:rPr>
          <w:i/>
          <w:iCs/>
          <w:sz w:val="24"/>
          <w:szCs w:val="24"/>
          <w:lang w:val="pt-BR" w:eastAsia="pt-BR"/>
        </w:rPr>
        <w:t>Plant</w:t>
      </w:r>
      <w:proofErr w:type="spellEnd"/>
      <w:r w:rsidRPr="00EF1442">
        <w:rPr>
          <w:i/>
          <w:iCs/>
          <w:sz w:val="24"/>
          <w:szCs w:val="24"/>
          <w:lang w:val="pt-BR" w:eastAsia="pt-BR"/>
        </w:rPr>
        <w:t xml:space="preserve"> Science</w:t>
      </w:r>
      <w:r w:rsidRPr="00EF1442">
        <w:rPr>
          <w:sz w:val="24"/>
          <w:szCs w:val="24"/>
          <w:lang w:val="pt-BR" w:eastAsia="pt-BR"/>
        </w:rPr>
        <w:t>, Lausanne, v. 8, p. 1-11, 2017.</w:t>
      </w:r>
    </w:p>
    <w:p w:rsidR="00EF1442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OMETO, J. C. </w:t>
      </w:r>
      <w:r w:rsidRPr="00EF1442">
        <w:rPr>
          <w:b/>
          <w:bCs/>
          <w:sz w:val="24"/>
          <w:szCs w:val="24"/>
          <w:lang w:val="pt-BR" w:eastAsia="pt-BR"/>
        </w:rPr>
        <w:t>Bioclimatologia vegetal</w:t>
      </w:r>
      <w:r w:rsidRPr="00EF1442">
        <w:rPr>
          <w:sz w:val="24"/>
          <w:szCs w:val="24"/>
          <w:lang w:val="pt-BR" w:eastAsia="pt-BR"/>
        </w:rPr>
        <w:t>. São Paulo: Agronômica Ceres, 1981. 525 p.</w:t>
      </w:r>
    </w:p>
    <w:p w:rsidR="00854741" w:rsidRPr="00EF1442" w:rsidRDefault="00EF1442" w:rsidP="00EF144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EF1442">
        <w:rPr>
          <w:sz w:val="24"/>
          <w:szCs w:val="24"/>
          <w:lang w:val="pt-BR" w:eastAsia="pt-BR"/>
        </w:rPr>
        <w:t xml:space="preserve">PINTO, N. F. J. A. Controle químico de doenças foliares em milho. </w:t>
      </w:r>
      <w:r w:rsidRPr="00EF1442">
        <w:rPr>
          <w:i/>
          <w:iCs/>
          <w:sz w:val="24"/>
          <w:szCs w:val="24"/>
          <w:lang w:val="pt-BR" w:eastAsia="pt-BR"/>
        </w:rPr>
        <w:t>Revista Brasileira de Milho e Sorgo</w:t>
      </w:r>
      <w:r w:rsidRPr="00EF1442">
        <w:rPr>
          <w:sz w:val="24"/>
          <w:szCs w:val="24"/>
          <w:lang w:val="pt-BR" w:eastAsia="pt-BR"/>
        </w:rPr>
        <w:t>, Sete Lagoas, v. 3, n. 1, p. 134-138, 2004. DOI: https://doi.org/10.18512/1980-6477/rbms.v3n1p134-138.</w:t>
      </w:r>
    </w:p>
    <w:sectPr w:rsidR="00854741" w:rsidRPr="00EF1442">
      <w:pgSz w:w="11910" w:h="16840"/>
      <w:pgMar w:top="10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65A0E"/>
    <w:multiLevelType w:val="hybridMultilevel"/>
    <w:tmpl w:val="4B94F832"/>
    <w:lvl w:ilvl="0" w:tplc="20A0F80E">
      <w:start w:val="3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4606A8">
      <w:numFmt w:val="bullet"/>
      <w:lvlText w:val="•"/>
      <w:lvlJc w:val="left"/>
      <w:pPr>
        <w:ind w:left="1334" w:hanging="240"/>
      </w:pPr>
      <w:rPr>
        <w:rFonts w:hint="default"/>
        <w:lang w:val="pt-PT" w:eastAsia="en-US" w:bidi="ar-SA"/>
      </w:rPr>
    </w:lvl>
    <w:lvl w:ilvl="2" w:tplc="DA2EB88A">
      <w:numFmt w:val="bullet"/>
      <w:lvlText w:val="•"/>
      <w:lvlJc w:val="left"/>
      <w:pPr>
        <w:ind w:left="2288" w:hanging="240"/>
      </w:pPr>
      <w:rPr>
        <w:rFonts w:hint="default"/>
        <w:lang w:val="pt-PT" w:eastAsia="en-US" w:bidi="ar-SA"/>
      </w:rPr>
    </w:lvl>
    <w:lvl w:ilvl="3" w:tplc="132CE4DE">
      <w:numFmt w:val="bullet"/>
      <w:lvlText w:val="•"/>
      <w:lvlJc w:val="left"/>
      <w:pPr>
        <w:ind w:left="3242" w:hanging="240"/>
      </w:pPr>
      <w:rPr>
        <w:rFonts w:hint="default"/>
        <w:lang w:val="pt-PT" w:eastAsia="en-US" w:bidi="ar-SA"/>
      </w:rPr>
    </w:lvl>
    <w:lvl w:ilvl="4" w:tplc="94B8C4AC">
      <w:numFmt w:val="bullet"/>
      <w:lvlText w:val="•"/>
      <w:lvlJc w:val="left"/>
      <w:pPr>
        <w:ind w:left="4196" w:hanging="240"/>
      </w:pPr>
      <w:rPr>
        <w:rFonts w:hint="default"/>
        <w:lang w:val="pt-PT" w:eastAsia="en-US" w:bidi="ar-SA"/>
      </w:rPr>
    </w:lvl>
    <w:lvl w:ilvl="5" w:tplc="97CC045E">
      <w:numFmt w:val="bullet"/>
      <w:lvlText w:val="•"/>
      <w:lvlJc w:val="left"/>
      <w:pPr>
        <w:ind w:left="5151" w:hanging="240"/>
      </w:pPr>
      <w:rPr>
        <w:rFonts w:hint="default"/>
        <w:lang w:val="pt-PT" w:eastAsia="en-US" w:bidi="ar-SA"/>
      </w:rPr>
    </w:lvl>
    <w:lvl w:ilvl="6" w:tplc="E116BD64">
      <w:numFmt w:val="bullet"/>
      <w:lvlText w:val="•"/>
      <w:lvlJc w:val="left"/>
      <w:pPr>
        <w:ind w:left="6105" w:hanging="240"/>
      </w:pPr>
      <w:rPr>
        <w:rFonts w:hint="default"/>
        <w:lang w:val="pt-PT" w:eastAsia="en-US" w:bidi="ar-SA"/>
      </w:rPr>
    </w:lvl>
    <w:lvl w:ilvl="7" w:tplc="3E443C84">
      <w:numFmt w:val="bullet"/>
      <w:lvlText w:val="•"/>
      <w:lvlJc w:val="left"/>
      <w:pPr>
        <w:ind w:left="7059" w:hanging="240"/>
      </w:pPr>
      <w:rPr>
        <w:rFonts w:hint="default"/>
        <w:lang w:val="pt-PT" w:eastAsia="en-US" w:bidi="ar-SA"/>
      </w:rPr>
    </w:lvl>
    <w:lvl w:ilvl="8" w:tplc="F0A20FE6">
      <w:numFmt w:val="bullet"/>
      <w:lvlText w:val="•"/>
      <w:lvlJc w:val="left"/>
      <w:pPr>
        <w:ind w:left="8013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54741"/>
    <w:rsid w:val="0019633E"/>
    <w:rsid w:val="00854741"/>
    <w:rsid w:val="00DA4282"/>
    <w:rsid w:val="00DF09B5"/>
    <w:rsid w:val="00E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80616-9F30-4EA5-A710-3132F12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"/>
      <w:ind w:left="38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  <w:style w:type="paragraph" w:styleId="NormalWeb">
    <w:name w:val="Normal (Web)"/>
    <w:basedOn w:val="Normal"/>
    <w:uiPriority w:val="99"/>
    <w:semiHidden/>
    <w:unhideWhenUsed/>
    <w:rsid w:val="00DF09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F09B5"/>
    <w:rPr>
      <w:b/>
      <w:bCs/>
    </w:rPr>
  </w:style>
  <w:style w:type="character" w:styleId="nfase">
    <w:name w:val="Emphasis"/>
    <w:basedOn w:val="Fontepargpadro"/>
    <w:uiPriority w:val="20"/>
    <w:qFormat/>
    <w:rsid w:val="00EF1442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F1442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F1442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F1442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F1442"/>
    <w:rPr>
      <w:rFonts w:ascii="Arial" w:eastAsia="Times New Roman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dereco.eletronico@ifsuldemina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ereco.eletronic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1915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Sergio de Araujo</dc:creator>
  <cp:lastModifiedBy>IF</cp:lastModifiedBy>
  <cp:revision>2</cp:revision>
  <dcterms:created xsi:type="dcterms:W3CDTF">2025-09-11T13:40:00Z</dcterms:created>
  <dcterms:modified xsi:type="dcterms:W3CDTF">2025-09-11T14:16:00Z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Office Word 2007</vt:lpwstr>
  </property>
</Properties>
</file>